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  <w:showingPlcHdr/>
        </w:sdtPr>
        <w:sdtEndPr/>
        <w:sdtContent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7777777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  <w:showingPlcHdr/>
        </w:sdtPr>
        <w:sdtEndPr/>
        <w:sdtContent>
          <w:r w:rsidRPr="008016ED">
            <w:rPr>
              <w:color w:val="808080"/>
            </w:rPr>
            <w:t>Enter the program’s physical address.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>Enter the number of educational hours.</w:t>
          </w:r>
        </w:sdtContent>
      </w:sdt>
    </w:p>
    <w:p w14:paraId="531A20A7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>Enter the number of patient-care clinic hours (clinical programs) or practice hours (non-clinical programs).</w:t>
          </w:r>
        </w:sdtContent>
      </w:sdt>
    </w:p>
    <w:p w14:paraId="2C638408" w14:textId="7777777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>Enter the number of mentoring hours.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sdtContent>
      </w:sdt>
    </w:p>
    <w:p w14:paraId="390D19D3" w14:textId="0EAD07A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A3559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A3559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A3559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A3559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A3559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A3559A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2F81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1211</Words>
  <Characters>7208</Characters>
  <Application>Microsoft Office Word</Application>
  <DocSecurity>0</DocSecurity>
  <Lines>163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12</cp:revision>
  <dcterms:created xsi:type="dcterms:W3CDTF">2023-04-26T15:38:00Z</dcterms:created>
  <dcterms:modified xsi:type="dcterms:W3CDTF">2024-05-20T12:32:00Z</dcterms:modified>
</cp:coreProperties>
</file>